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Red Hat Display" w:cs="Red Hat Display" w:eastAsia="Red Hat Display" w:hAnsi="Red Hat Display"/>
          <w:b w:val="1"/>
          <w:bCs w:val="1"/>
          <w:color w:val="005b9e"/>
          <w:sz w:val="60"/>
          <w:szCs w:val="60"/>
        </w:rPr>
      </w:pPr>
      <w:r w:rsidDel="00000000" w:rsidR="00000000" w:rsidRPr="00000000">
        <w:rPr>
          <w:rFonts w:ascii="Red Hat Display" w:cs="Red Hat Display" w:eastAsia="Red Hat Display" w:hAnsi="Red Hat Display"/>
          <w:b w:val="1"/>
          <w:bCs w:val="1"/>
          <w:color w:val="005b9e"/>
          <w:sz w:val="60"/>
          <w:szCs w:val="60"/>
          <w:rtl w:val="0"/>
        </w:rPr>
        <w:t xml:space="preserve">2026 UnitedHealthcare Changes to Your Remote Care Coverage</w:t>
      </w:r>
    </w:p>
    <w:p w:rsidR="00000000" w:rsidDel="00000000" w:rsidP="00000000" w:rsidRDefault="00000000" w:rsidRPr="00000000" w14:paraId="00000002">
      <w:pPr>
        <w:spacing w:line="240" w:lineRule="auto"/>
        <w:jc w:val="center"/>
        <w:rPr>
          <w:rFonts w:ascii="Red Hat Display" w:cs="Red Hat Display" w:eastAsia="Red Hat Display" w:hAnsi="Red Hat Display"/>
          <w:b w:val="1"/>
          <w:bCs w:val="1"/>
          <w:color w:val="005b9e"/>
          <w:sz w:val="58"/>
          <w:szCs w:val="58"/>
        </w:rPr>
      </w:pPr>
      <w:r w:rsidDel="00000000" w:rsidR="00000000" w:rsidRPr="00000000">
        <w:rPr>
          <w:rtl w:val="0"/>
        </w:rPr>
      </w:r>
    </w:p>
    <w:p w:rsidR="00000000" w:rsidDel="00000000" w:rsidP="00000000" w:rsidRDefault="00000000" w:rsidRPr="00000000" w14:paraId="00000003">
      <w:pPr>
        <w:spacing w:line="240" w:lineRule="auto"/>
        <w:jc w:val="left"/>
        <w:rPr>
          <w:rFonts w:ascii="Red Hat Display" w:cs="Red Hat Display" w:eastAsia="Red Hat Display" w:hAnsi="Red Hat Display"/>
          <w:b w:val="1"/>
          <w:bCs w:val="1"/>
          <w:color w:val="3a3c4d"/>
          <w:sz w:val="38"/>
          <w:szCs w:val="38"/>
        </w:rPr>
      </w:pPr>
      <w:r w:rsidDel="00000000" w:rsidR="00000000" w:rsidRPr="00000000">
        <w:rPr>
          <w:rFonts w:ascii="Red Hat Display" w:cs="Red Hat Display" w:eastAsia="Red Hat Display" w:hAnsi="Red Hat Display"/>
          <w:b w:val="1"/>
          <w:bCs w:val="1"/>
          <w:color w:val="3a3c4d"/>
          <w:sz w:val="38"/>
          <w:szCs w:val="38"/>
          <w:rtl w:val="0"/>
        </w:rPr>
        <w:t xml:space="preserve">How is my coverage changing?</w:t>
      </w:r>
    </w:p>
    <w:p w:rsidR="00000000" w:rsidDel="00000000" w:rsidP="00000000" w:rsidRDefault="00000000" w:rsidRPr="00000000" w14:paraId="00000004">
      <w:pPr>
        <w:spacing w:line="240" w:lineRule="auto"/>
        <w:jc w:val="left"/>
        <w:rPr>
          <w:rFonts w:ascii="Nunito" w:cs="Nunito" w:eastAsia="Nunito" w:hAnsi="Nunito"/>
          <w:color w:val="3a3c4d"/>
          <w:sz w:val="26"/>
          <w:szCs w:val="26"/>
        </w:rPr>
      </w:pPr>
      <w:r w:rsidDel="00000000" w:rsidR="00000000" w:rsidRPr="00000000">
        <w:rPr>
          <w:rFonts w:ascii="Nunito" w:cs="Nunito" w:eastAsia="Nunito" w:hAnsi="Nunito"/>
          <w:color w:val="3a3c4d"/>
          <w:sz w:val="26"/>
          <w:szCs w:val="26"/>
          <w:rtl w:val="0"/>
        </w:rPr>
        <w:t xml:space="preserve">UnitedHealthCare (UHC) has changed its policy for Medicare Advantage beneficiaries. Beginning January 1, 2026, UHC will no longer cover remote patient monitoring (using an at-home medical device to send readings to your doctor) for high blood pressure, diabetes, and other health conditions. Only patients with a heart failure diagnosis are now eligible for remote monitoring benefits.</w:t>
      </w:r>
    </w:p>
    <w:p w:rsidR="00000000" w:rsidDel="00000000" w:rsidP="00000000" w:rsidRDefault="00000000" w:rsidRPr="00000000" w14:paraId="00000005">
      <w:pPr>
        <w:spacing w:line="240" w:lineRule="auto"/>
        <w:jc w:val="left"/>
        <w:rPr>
          <w:rFonts w:ascii="Nunito" w:cs="Nunito" w:eastAsia="Nunito" w:hAnsi="Nunito"/>
          <w:color w:val="3a3c4d"/>
          <w:sz w:val="20"/>
          <w:szCs w:val="20"/>
        </w:rPr>
      </w:pPr>
      <w:r w:rsidDel="00000000" w:rsidR="00000000" w:rsidRPr="00000000">
        <w:rPr>
          <w:rtl w:val="0"/>
        </w:rPr>
      </w:r>
    </w:p>
    <w:p w:rsidR="00000000" w:rsidDel="00000000" w:rsidP="00000000" w:rsidRDefault="00000000" w:rsidRPr="00000000" w14:paraId="00000006">
      <w:pPr>
        <w:spacing w:line="240" w:lineRule="auto"/>
        <w:rPr>
          <w:rFonts w:ascii="Nunito" w:cs="Nunito" w:eastAsia="Nunito" w:hAnsi="Nunito"/>
          <w:color w:val="3a3c4d"/>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40" w:lineRule="auto"/>
        <w:jc w:val="left"/>
        <w:rPr>
          <w:rFonts w:ascii="Nunito" w:cs="Nunito" w:eastAsia="Nunito" w:hAnsi="Nunito"/>
          <w:color w:val="3a3c4d"/>
          <w:sz w:val="20"/>
          <w:szCs w:val="20"/>
        </w:rPr>
      </w:pPr>
      <w:r w:rsidDel="00000000" w:rsidR="00000000" w:rsidRPr="00000000">
        <w:rPr>
          <w:rtl w:val="0"/>
        </w:rPr>
      </w:r>
    </w:p>
    <w:p w:rsidR="00000000" w:rsidDel="00000000" w:rsidP="00000000" w:rsidRDefault="00000000" w:rsidRPr="00000000" w14:paraId="00000008">
      <w:pPr>
        <w:spacing w:line="240" w:lineRule="auto"/>
        <w:rPr>
          <w:rFonts w:ascii="Red Hat Display" w:cs="Red Hat Display" w:eastAsia="Red Hat Display" w:hAnsi="Red Hat Display"/>
          <w:b w:val="1"/>
          <w:bCs w:val="1"/>
          <w:color w:val="3a3c4d"/>
          <w:sz w:val="38"/>
          <w:szCs w:val="38"/>
        </w:rPr>
      </w:pPr>
      <w:r w:rsidDel="00000000" w:rsidR="00000000" w:rsidRPr="00000000">
        <w:rPr>
          <w:rFonts w:ascii="Red Hat Display" w:cs="Red Hat Display" w:eastAsia="Red Hat Display" w:hAnsi="Red Hat Display"/>
          <w:b w:val="1"/>
          <w:bCs w:val="1"/>
          <w:color w:val="3a3c4d"/>
          <w:sz w:val="38"/>
          <w:szCs w:val="38"/>
          <w:rtl w:val="0"/>
        </w:rPr>
        <w:t xml:space="preserve">Why is remote monitoring important?</w:t>
      </w:r>
    </w:p>
    <w:p w:rsidR="00000000" w:rsidDel="00000000" w:rsidP="00000000" w:rsidRDefault="00000000" w:rsidRPr="00000000" w14:paraId="00000009">
      <w:pPr>
        <w:spacing w:line="240" w:lineRule="auto"/>
        <w:rPr>
          <w:rFonts w:ascii="Nunito" w:cs="Nunito" w:eastAsia="Nunito" w:hAnsi="Nunito"/>
          <w:color w:val="3a3c4d"/>
          <w:sz w:val="26"/>
          <w:szCs w:val="26"/>
        </w:rPr>
      </w:pPr>
      <w:r w:rsidDel="00000000" w:rsidR="00000000" w:rsidRPr="00000000">
        <w:rPr>
          <w:rFonts w:ascii="Nunito" w:cs="Nunito" w:eastAsia="Nunito" w:hAnsi="Nunito"/>
          <w:color w:val="3a3c4d"/>
          <w:sz w:val="26"/>
          <w:szCs w:val="26"/>
          <w:rtl w:val="0"/>
        </w:rPr>
        <w:t xml:space="preserve">Remote patient monitoring is an important part of your care. Your doctor signed you up for this program to improve your health and help avoid hospital visits. We believe that UHC’s policy change is frustrating and not in our Medicare Advantage patients’ best interests.</w:t>
      </w:r>
    </w:p>
    <w:p w:rsidR="00000000" w:rsidDel="00000000" w:rsidP="00000000" w:rsidRDefault="00000000" w:rsidRPr="00000000" w14:paraId="0000000A">
      <w:pPr>
        <w:spacing w:line="240" w:lineRule="auto"/>
        <w:rPr>
          <w:rFonts w:ascii="Nunito" w:cs="Nunito" w:eastAsia="Nunito" w:hAnsi="Nunito"/>
          <w:color w:val="3a3c4d"/>
          <w:sz w:val="20"/>
          <w:szCs w:val="20"/>
        </w:rPr>
      </w:pPr>
      <w:r w:rsidDel="00000000" w:rsidR="00000000" w:rsidRPr="00000000">
        <w:rPr>
          <w:rtl w:val="0"/>
        </w:rPr>
      </w:r>
    </w:p>
    <w:p w:rsidR="00000000" w:rsidDel="00000000" w:rsidP="00000000" w:rsidRDefault="00000000" w:rsidRPr="00000000" w14:paraId="0000000B">
      <w:pPr>
        <w:spacing w:line="240" w:lineRule="auto"/>
        <w:rPr>
          <w:rFonts w:ascii="Nunito" w:cs="Nunito" w:eastAsia="Nunito" w:hAnsi="Nunito"/>
          <w:color w:val="3a3c4d"/>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line="240" w:lineRule="auto"/>
        <w:rPr>
          <w:rFonts w:ascii="Nunito" w:cs="Nunito" w:eastAsia="Nunito" w:hAnsi="Nunito"/>
          <w:color w:val="3a3c4d"/>
          <w:sz w:val="20"/>
          <w:szCs w:val="20"/>
        </w:rPr>
      </w:pPr>
      <w:r w:rsidDel="00000000" w:rsidR="00000000" w:rsidRPr="00000000">
        <w:rPr>
          <w:rtl w:val="0"/>
        </w:rPr>
      </w:r>
    </w:p>
    <w:p w:rsidR="00000000" w:rsidDel="00000000" w:rsidP="00000000" w:rsidRDefault="00000000" w:rsidRPr="00000000" w14:paraId="0000000D">
      <w:pPr>
        <w:spacing w:line="240" w:lineRule="auto"/>
        <w:rPr>
          <w:rFonts w:ascii="Nunito" w:cs="Nunito" w:eastAsia="Nunito" w:hAnsi="Nunito"/>
          <w:color w:val="3a3c4d"/>
          <w:sz w:val="26"/>
          <w:szCs w:val="26"/>
        </w:rPr>
      </w:pPr>
      <w:r w:rsidDel="00000000" w:rsidR="00000000" w:rsidRPr="00000000">
        <w:rPr>
          <w:rFonts w:ascii="Red Hat Display" w:cs="Red Hat Display" w:eastAsia="Red Hat Display" w:hAnsi="Red Hat Display"/>
          <w:b w:val="1"/>
          <w:bCs w:val="1"/>
          <w:color w:val="3a3c4d"/>
          <w:sz w:val="38"/>
          <w:szCs w:val="38"/>
          <w:rtl w:val="0"/>
        </w:rPr>
        <w:t xml:space="preserve">What can I do to regain remote monitoring coverage?</w:t>
      </w:r>
      <w:r w:rsidDel="00000000" w:rsidR="00000000" w:rsidRPr="00000000">
        <w:rPr>
          <w:rtl w:val="0"/>
        </w:rPr>
      </w:r>
    </w:p>
    <w:p w:rsidR="00000000" w:rsidDel="00000000" w:rsidP="00000000" w:rsidRDefault="00000000" w:rsidRPr="00000000" w14:paraId="0000000E">
      <w:pPr>
        <w:spacing w:line="240" w:lineRule="auto"/>
        <w:rPr>
          <w:rFonts w:ascii="Nunito" w:cs="Nunito" w:eastAsia="Nunito" w:hAnsi="Nunito"/>
          <w:color w:val="3a3c4d"/>
          <w:sz w:val="26"/>
          <w:szCs w:val="26"/>
        </w:rPr>
      </w:pPr>
      <w:r w:rsidDel="00000000" w:rsidR="00000000" w:rsidRPr="00000000">
        <w:rPr>
          <w:rFonts w:ascii="Nunito" w:cs="Nunito" w:eastAsia="Nunito" w:hAnsi="Nunito"/>
          <w:color w:val="3a3c4d"/>
          <w:sz w:val="26"/>
          <w:szCs w:val="26"/>
          <w:rtl w:val="0"/>
        </w:rPr>
        <w:t xml:space="preserve">Unfortunately, the only way for you to regain coverage for remote patient monitoring services is to switch insurance providers. Selecting the right insurance is ultimately your personal decision. If you choose to explore other options, here is some key information: </w:t>
      </w:r>
    </w:p>
    <w:p w:rsidR="00000000" w:rsidDel="00000000" w:rsidP="00000000" w:rsidRDefault="00000000" w:rsidRPr="00000000" w14:paraId="0000000F">
      <w:pPr>
        <w:spacing w:line="240" w:lineRule="auto"/>
        <w:rPr>
          <w:rFonts w:ascii="Nunito" w:cs="Nunito" w:eastAsia="Nunito" w:hAnsi="Nunito"/>
          <w:color w:val="3a3c4d"/>
          <w:sz w:val="26"/>
          <w:szCs w:val="26"/>
        </w:rPr>
      </w:pPr>
      <w:r w:rsidDel="00000000" w:rsidR="00000000" w:rsidRPr="00000000">
        <w:rPr>
          <w:rtl w:val="0"/>
        </w:rPr>
      </w:r>
    </w:p>
    <w:p w:rsidR="00000000" w:rsidDel="00000000" w:rsidP="00000000" w:rsidRDefault="00000000" w:rsidRPr="00000000" w14:paraId="00000010">
      <w:pPr>
        <w:numPr>
          <w:ilvl w:val="0"/>
          <w:numId w:val="1"/>
        </w:numPr>
        <w:spacing w:after="80" w:line="240" w:lineRule="auto"/>
        <w:ind w:left="720" w:hanging="360"/>
        <w:rPr>
          <w:rFonts w:ascii="Nunito" w:cs="Nunito" w:eastAsia="Nunito" w:hAnsi="Nunito"/>
          <w:color w:val="3a3c4d"/>
          <w:sz w:val="26"/>
          <w:szCs w:val="26"/>
        </w:rPr>
      </w:pPr>
      <w:r w:rsidDel="00000000" w:rsidR="00000000" w:rsidRPr="00000000">
        <w:rPr>
          <w:rFonts w:ascii="Nunito" w:cs="Nunito" w:eastAsia="Nunito" w:hAnsi="Nunito"/>
          <w:color w:val="3a3c4d"/>
          <w:sz w:val="26"/>
          <w:szCs w:val="26"/>
          <w:rtl w:val="0"/>
        </w:rPr>
        <w:t xml:space="preserve">Medicare is in an open enrollment period October 15 to December 7, 2025. Open enrollment will resume January 1 to March 31, 2026. During these periods, you can switch to traditional Medicare or to a different Medicare Advantage plan.</w:t>
      </w:r>
    </w:p>
    <w:p w:rsidR="00000000" w:rsidDel="00000000" w:rsidP="00000000" w:rsidRDefault="00000000" w:rsidRPr="00000000" w14:paraId="00000011">
      <w:pPr>
        <w:numPr>
          <w:ilvl w:val="0"/>
          <w:numId w:val="1"/>
        </w:numPr>
        <w:spacing w:after="80" w:before="0" w:line="240" w:lineRule="auto"/>
        <w:ind w:left="720" w:hanging="360"/>
        <w:rPr>
          <w:rFonts w:ascii="Nunito" w:cs="Nunito" w:eastAsia="Nunito" w:hAnsi="Nunito"/>
          <w:color w:val="3a3c4d"/>
          <w:sz w:val="26"/>
          <w:szCs w:val="26"/>
        </w:rPr>
      </w:pPr>
      <w:r w:rsidDel="00000000" w:rsidR="00000000" w:rsidRPr="00000000">
        <w:rPr>
          <w:rFonts w:ascii="Nunito" w:cs="Nunito" w:eastAsia="Nunito" w:hAnsi="Nunito"/>
          <w:color w:val="3a3c4d"/>
          <w:sz w:val="26"/>
          <w:szCs w:val="26"/>
          <w:rtl w:val="0"/>
        </w:rPr>
        <w:t xml:space="preserve">Traditional Medicare and all non-UHC Medicare Advantage plans cover remote patient monitoring services, plus offer other benefits similar to your current UHC Medicare Advantage plan.</w:t>
      </w:r>
    </w:p>
    <w:p w:rsidR="00000000" w:rsidDel="00000000" w:rsidP="00000000" w:rsidRDefault="00000000" w:rsidRPr="00000000" w14:paraId="00000012">
      <w:pPr>
        <w:numPr>
          <w:ilvl w:val="0"/>
          <w:numId w:val="1"/>
        </w:numPr>
        <w:spacing w:after="80" w:line="240" w:lineRule="auto"/>
        <w:ind w:left="720" w:hanging="360"/>
        <w:rPr>
          <w:rFonts w:ascii="Nunito" w:cs="Nunito" w:eastAsia="Nunito" w:hAnsi="Nunito"/>
          <w:color w:val="3a3c4d"/>
          <w:sz w:val="26"/>
          <w:szCs w:val="26"/>
        </w:rPr>
      </w:pPr>
      <w:r w:rsidDel="00000000" w:rsidR="00000000" w:rsidRPr="00000000">
        <w:rPr>
          <w:rFonts w:ascii="Nunito" w:cs="Nunito" w:eastAsia="Nunito" w:hAnsi="Nunito"/>
          <w:color w:val="3a3c4d"/>
          <w:sz w:val="26"/>
          <w:szCs w:val="26"/>
          <w:rtl w:val="0"/>
        </w:rPr>
        <w:t xml:space="preserve">Before switching, review new plan options closely and consider other factors like cost, in-network providers, and benefits.</w:t>
      </w:r>
    </w:p>
    <w:p w:rsidR="00000000" w:rsidDel="00000000" w:rsidP="00000000" w:rsidRDefault="00000000" w:rsidRPr="00000000" w14:paraId="00000013">
      <w:pPr>
        <w:spacing w:line="240" w:lineRule="auto"/>
        <w:ind w:left="720" w:firstLine="0"/>
        <w:rPr>
          <w:rFonts w:ascii="Nunito" w:cs="Nunito" w:eastAsia="Nunito" w:hAnsi="Nunito"/>
          <w:color w:val="3a3c4d"/>
          <w:sz w:val="26"/>
          <w:szCs w:val="26"/>
        </w:rPr>
      </w:pPr>
      <w:r w:rsidDel="00000000" w:rsidR="00000000" w:rsidRPr="00000000">
        <w:rPr>
          <w:rtl w:val="0"/>
        </w:rPr>
      </w:r>
    </w:p>
    <w:p w:rsidR="00000000" w:rsidDel="00000000" w:rsidP="00000000" w:rsidRDefault="00000000" w:rsidRPr="00000000" w14:paraId="00000014">
      <w:pPr>
        <w:spacing w:line="240" w:lineRule="auto"/>
        <w:ind w:left="720" w:firstLine="0"/>
        <w:rPr>
          <w:rFonts w:ascii="Nunito" w:cs="Nunito" w:eastAsia="Nunito" w:hAnsi="Nunito"/>
          <w:color w:val="3a3c4d"/>
          <w:sz w:val="26"/>
          <w:szCs w:val="26"/>
        </w:rPr>
      </w:pPr>
      <w:r w:rsidDel="00000000" w:rsidR="00000000" w:rsidRPr="00000000">
        <w:rPr>
          <w:rtl w:val="0"/>
        </w:rPr>
      </w:r>
    </w:p>
    <w:p w:rsidR="00000000" w:rsidDel="00000000" w:rsidP="00000000" w:rsidRDefault="00000000" w:rsidRPr="00000000" w14:paraId="00000015">
      <w:pPr>
        <w:spacing w:line="240" w:lineRule="auto"/>
        <w:jc w:val="center"/>
        <w:rPr>
          <w:rFonts w:ascii="Nunito SemiBold" w:cs="Nunito SemiBold" w:eastAsia="Nunito SemiBold" w:hAnsi="Nunito SemiBold"/>
          <w:color w:val="3a3c4d"/>
          <w:sz w:val="26"/>
          <w:szCs w:val="26"/>
        </w:rPr>
      </w:pPr>
      <w:r w:rsidDel="00000000" w:rsidR="00000000" w:rsidRPr="00000000">
        <w:rPr>
          <w:rFonts w:ascii="Nunito SemiBold" w:cs="Nunito SemiBold" w:eastAsia="Nunito SemiBold" w:hAnsi="Nunito SemiBold"/>
          <w:color w:val="3a3c4d"/>
          <w:sz w:val="26"/>
          <w:szCs w:val="26"/>
          <w:rtl w:val="0"/>
        </w:rPr>
        <w:t xml:space="preserve">We apologize for the inconvenience and share your frustration with this UHC policy change. Please contact your doctor’s office if you have any questions.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ed Hat Display">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SemiBold-regular.ttf"/><Relationship Id="rId2" Type="http://schemas.openxmlformats.org/officeDocument/2006/relationships/font" Target="fonts/NunitoSemiBold-bold.ttf"/><Relationship Id="rId3" Type="http://schemas.openxmlformats.org/officeDocument/2006/relationships/font" Target="fonts/NunitoSemiBold-italic.ttf"/><Relationship Id="rId4" Type="http://schemas.openxmlformats.org/officeDocument/2006/relationships/font" Target="fonts/NunitoSemiBold-boldItalic.ttf"/><Relationship Id="rId11" Type="http://schemas.openxmlformats.org/officeDocument/2006/relationships/font" Target="fonts/RedHatDisplay-italic.ttf"/><Relationship Id="rId10" Type="http://schemas.openxmlformats.org/officeDocument/2006/relationships/font" Target="fonts/RedHatDisplay-bold.ttf"/><Relationship Id="rId12" Type="http://schemas.openxmlformats.org/officeDocument/2006/relationships/font" Target="fonts/RedHatDisplay-boldItalic.ttf"/><Relationship Id="rId9" Type="http://schemas.openxmlformats.org/officeDocument/2006/relationships/font" Target="fonts/RedHatDisplay-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